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hd w:val="clear" w:color="auto" w:fill="ffffff"/>
        <w:spacing w:before="1200" w:after="0" w:line="240" w:lineRule="auto"/>
        <w:outlineLvl w:val="2"/>
        <w:rPr>
          <w:b w:val="1"/>
          <w:bCs w:val="1"/>
          <w:color w:val="0b0c0c"/>
          <w:sz w:val="41"/>
          <w:szCs w:val="41"/>
          <w:u w:color="0b0c0c"/>
        </w:rPr>
      </w:pPr>
      <w:r>
        <w:rPr>
          <w:b w:val="1"/>
          <w:bCs w:val="1"/>
          <w:color w:val="0b0c0c"/>
          <w:sz w:val="41"/>
          <w:szCs w:val="41"/>
          <w:u w:color="0b0c0c"/>
          <w:rtl w:val="0"/>
          <w:lang w:val="en-US"/>
        </w:rPr>
        <w:t>Curriculum expectations</w:t>
      </w:r>
    </w:p>
    <w:p>
      <w:pPr>
        <w:pStyle w:val="Body"/>
        <w:shd w:val="clear" w:color="auto" w:fill="ffffff"/>
        <w:spacing w:before="300" w:after="300" w:line="240" w:lineRule="auto"/>
        <w:rPr>
          <w:color w:val="0b0c0c"/>
          <w:sz w:val="29"/>
          <w:szCs w:val="29"/>
          <w:u w:color="0b0c0c"/>
        </w:rPr>
      </w:pPr>
      <w:r>
        <w:rPr>
          <w:color w:val="0b0c0c"/>
          <w:sz w:val="29"/>
          <w:szCs w:val="29"/>
          <w:u w:color="0b0c0c"/>
          <w:rtl w:val="0"/>
          <w:lang w:val="en-US"/>
        </w:rPr>
        <w:t xml:space="preserve">This section sets out some key principles and expectations for curriculum planning in school based nursery, mainstream and special schools, and alternative provision (AP), so that all pupils </w:t>
      </w:r>
      <w:r>
        <w:rPr>
          <w:color w:val="0b0c0c"/>
          <w:sz w:val="29"/>
          <w:szCs w:val="29"/>
          <w:u w:color="0b0c0c"/>
          <w:rtl w:val="0"/>
          <w:lang w:val="en-US"/>
        </w:rPr>
        <w:t xml:space="preserve">– </w:t>
      </w:r>
      <w:r>
        <w:rPr>
          <w:color w:val="0b0c0c"/>
          <w:sz w:val="29"/>
          <w:szCs w:val="29"/>
          <w:u w:color="0b0c0c"/>
          <w:rtl w:val="0"/>
          <w:lang w:val="en-US"/>
        </w:rPr>
        <w:t>particularly disadvantaged,</w:t>
      </w:r>
      <w:r>
        <w:rPr>
          <w:color w:val="0b0c0c"/>
          <w:sz w:val="29"/>
          <w:szCs w:val="29"/>
          <w:u w:color="0b0c0c"/>
          <w:rtl w:val="0"/>
          <w:lang w:val="en-US"/>
        </w:rPr>
        <w:t> </w:t>
      </w:r>
      <w:r>
        <w:rPr>
          <w:color w:val="0b0c0c"/>
          <w:sz w:val="29"/>
          <w:szCs w:val="29"/>
          <w:u w:color="0b0c0c"/>
          <w:rtl w:val="0"/>
          <w:lang w:val="de-DE"/>
        </w:rPr>
        <w:t>SEND</w:t>
      </w:r>
      <w:r>
        <w:rPr>
          <w:color w:val="0b0c0c"/>
          <w:sz w:val="29"/>
          <w:szCs w:val="29"/>
          <w:u w:color="0b0c0c"/>
          <w:rtl w:val="0"/>
          <w:lang w:val="en-US"/>
        </w:rPr>
        <w:t> </w:t>
      </w:r>
      <w:r>
        <w:rPr>
          <w:color w:val="0b0c0c"/>
          <w:sz w:val="29"/>
          <w:szCs w:val="29"/>
          <w:u w:color="0b0c0c"/>
          <w:rtl w:val="0"/>
          <w:lang w:val="en-US"/>
        </w:rPr>
        <w:t xml:space="preserve">and vulnerable pupils </w:t>
      </w:r>
      <w:r>
        <w:rPr>
          <w:color w:val="0b0c0c"/>
          <w:sz w:val="29"/>
          <w:szCs w:val="29"/>
          <w:u w:color="0b0c0c"/>
          <w:rtl w:val="0"/>
          <w:lang w:val="en-US"/>
        </w:rPr>
        <w:t xml:space="preserve">– </w:t>
      </w:r>
      <w:r>
        <w:rPr>
          <w:color w:val="0b0c0c"/>
          <w:sz w:val="29"/>
          <w:szCs w:val="29"/>
          <w:u w:color="0b0c0c"/>
          <w:rtl w:val="0"/>
          <w:lang w:val="en-US"/>
        </w:rPr>
        <w:t>are given the catch-up support needed to make substantial progress by the end of the academic year.</w:t>
      </w:r>
    </w:p>
    <w:p>
      <w:pPr>
        <w:pStyle w:val="Body"/>
        <w:shd w:val="clear" w:color="auto" w:fill="ffffff"/>
        <w:spacing w:before="300" w:after="300" w:line="240" w:lineRule="auto"/>
        <w:rPr>
          <w:color w:val="0b0c0c"/>
          <w:sz w:val="29"/>
          <w:szCs w:val="29"/>
          <w:u w:color="0b0c0c"/>
        </w:rPr>
      </w:pPr>
      <w:r>
        <w:rPr>
          <w:color w:val="0b0c0c"/>
          <w:sz w:val="29"/>
          <w:szCs w:val="29"/>
          <w:u w:color="0b0c0c"/>
          <w:rtl w:val="0"/>
          <w:lang w:val="en-US"/>
        </w:rPr>
        <w:t>The key principles that underpin our advice on curriculum planning are:</w:t>
      </w:r>
    </w:p>
    <w:p>
      <w:pPr>
        <w:pStyle w:val="Body"/>
        <w:numPr>
          <w:ilvl w:val="0"/>
          <w:numId w:val="2"/>
        </w:numPr>
        <w:shd w:val="clear" w:color="auto" w:fill="ffffff"/>
        <w:bidi w:val="0"/>
        <w:spacing w:after="75" w:line="240" w:lineRule="auto"/>
        <w:ind w:right="0"/>
        <w:jc w:val="left"/>
        <w:rPr>
          <w:rFonts w:ascii="Helvetica Neue" w:hAnsi="Helvetica Neue"/>
          <w:color w:val="0b0c0c"/>
          <w:sz w:val="29"/>
          <w:szCs w:val="29"/>
          <w:rtl w:val="0"/>
          <w:lang w:val="en-US"/>
        </w:rPr>
      </w:pPr>
      <w:r>
        <w:rPr>
          <w:rFonts w:ascii="Helvetica Neue" w:hAnsi="Helvetica Neue"/>
          <w:color w:val="0b0c0c"/>
          <w:sz w:val="29"/>
          <w:szCs w:val="29"/>
          <w:u w:color="0b0c0c"/>
          <w:rtl w:val="0"/>
          <w:lang w:val="en-US"/>
        </w:rPr>
        <w:t>education is not optional: all pupils receive a high-quality education that promotes their development and prepares them for the opportunities, responsibilities and experiences of later life.</w:t>
      </w:r>
    </w:p>
    <w:p>
      <w:pPr>
        <w:pStyle w:val="Body"/>
        <w:numPr>
          <w:ilvl w:val="0"/>
          <w:numId w:val="2"/>
        </w:numPr>
        <w:shd w:val="clear" w:color="auto" w:fill="ffffff"/>
        <w:bidi w:val="0"/>
        <w:spacing w:after="75" w:line="240" w:lineRule="auto"/>
        <w:ind w:right="0"/>
        <w:jc w:val="left"/>
        <w:rPr>
          <w:rFonts w:ascii="Helvetica Neue" w:hAnsi="Helvetica Neue"/>
          <w:color w:val="0b0c0c"/>
          <w:sz w:val="29"/>
          <w:szCs w:val="29"/>
          <w:rtl w:val="0"/>
          <w:lang w:val="en-US"/>
        </w:rPr>
      </w:pPr>
      <w:r>
        <w:rPr>
          <w:rFonts w:ascii="Helvetica Neue" w:hAnsi="Helvetica Neue"/>
          <w:color w:val="0b0c0c"/>
          <w:sz w:val="29"/>
          <w:szCs w:val="29"/>
          <w:u w:color="0b0c0c"/>
          <w:rtl w:val="0"/>
          <w:lang w:val="en-US"/>
        </w:rPr>
        <w:t>the curriculum remains broad and ambitious: all pupils continue to be taught a wide range of subjects, maintaining their choices for further study and employment.</w:t>
      </w:r>
    </w:p>
    <w:p>
      <w:pPr>
        <w:pStyle w:val="Body"/>
        <w:numPr>
          <w:ilvl w:val="0"/>
          <w:numId w:val="2"/>
        </w:numPr>
        <w:shd w:val="clear" w:color="auto" w:fill="ffffff"/>
        <w:bidi w:val="0"/>
        <w:spacing w:after="75" w:line="240" w:lineRule="auto"/>
        <w:ind w:right="0"/>
        <w:jc w:val="left"/>
        <w:rPr>
          <w:rFonts w:ascii="Helvetica Neue" w:hAnsi="Helvetica Neue"/>
          <w:color w:val="0b0c0c"/>
          <w:sz w:val="29"/>
          <w:szCs w:val="29"/>
          <w:rtl w:val="0"/>
          <w:lang w:val="en-US"/>
        </w:rPr>
      </w:pPr>
      <w:r>
        <w:rPr>
          <w:rFonts w:ascii="Helvetica Neue" w:hAnsi="Helvetica Neue"/>
          <w:color w:val="0b0c0c"/>
          <w:sz w:val="29"/>
          <w:szCs w:val="29"/>
          <w:u w:color="0b0c0c"/>
          <w:rtl w:val="0"/>
          <w:lang w:val="en-US"/>
        </w:rPr>
        <w:t>remote education, where needed, is high quality and aligns as closely as possible with in-school provision: schools and other settings continue to build their capability to educate pupils remotely, where this is needed.</w:t>
      </w:r>
    </w:p>
    <w:p>
      <w:pPr>
        <w:pStyle w:val="Body"/>
        <w:shd w:val="clear" w:color="auto" w:fill="ffffff"/>
        <w:spacing w:before="300" w:after="300" w:line="240" w:lineRule="auto"/>
        <w:rPr>
          <w:color w:val="0b0c0c"/>
          <w:sz w:val="29"/>
          <w:szCs w:val="29"/>
          <w:u w:color="0b0c0c"/>
        </w:rPr>
      </w:pPr>
      <w:r>
        <w:rPr>
          <w:color w:val="0b0c0c"/>
          <w:sz w:val="29"/>
          <w:szCs w:val="29"/>
          <w:u w:color="0b0c0c"/>
          <w:rtl w:val="0"/>
          <w:lang w:val="en-US"/>
        </w:rPr>
        <w:t>Informed by these principles,</w:t>
      </w:r>
      <w:r>
        <w:rPr>
          <w:color w:val="0b0c0c"/>
          <w:sz w:val="29"/>
          <w:szCs w:val="29"/>
          <w:u w:color="0b0c0c"/>
          <w:rtl w:val="0"/>
          <w:lang w:val="en-US"/>
        </w:rPr>
        <w:t> </w:t>
      </w:r>
      <w:r>
        <w:rPr>
          <w:color w:val="0b0c0c"/>
          <w:sz w:val="29"/>
          <w:szCs w:val="29"/>
          <w:u w:color="0b0c0c"/>
          <w:rtl w:val="0"/>
        </w:rPr>
        <w:t>DfE</w:t>
      </w:r>
      <w:r>
        <w:rPr>
          <w:color w:val="0b0c0c"/>
          <w:sz w:val="29"/>
          <w:szCs w:val="29"/>
          <w:u w:color="0b0c0c"/>
          <w:rtl w:val="0"/>
          <w:lang w:val="en-US"/>
        </w:rPr>
        <w:t> </w:t>
      </w:r>
      <w:r>
        <w:rPr>
          <w:color w:val="0b0c0c"/>
          <w:sz w:val="29"/>
          <w:szCs w:val="29"/>
          <w:u w:color="0b0c0c"/>
          <w:rtl w:val="0"/>
          <w:lang w:val="en-US"/>
        </w:rPr>
        <w:t>asks that schools and other settings meet the following key expectations if considering revisions to their school curriculum for academic year 2020 to 2021:</w:t>
      </w:r>
    </w:p>
    <w:p>
      <w:pPr>
        <w:pStyle w:val="Body"/>
        <w:numPr>
          <w:ilvl w:val="0"/>
          <w:numId w:val="4"/>
        </w:numPr>
        <w:shd w:val="clear" w:color="auto" w:fill="ffffff"/>
        <w:bidi w:val="0"/>
        <w:spacing w:after="0" w:line="240" w:lineRule="auto"/>
        <w:ind w:right="0"/>
        <w:jc w:val="left"/>
        <w:rPr>
          <w:rFonts w:ascii="Helvetica Neue" w:hAnsi="Helvetica Neue"/>
          <w:color w:val="0b0c0c"/>
          <w:sz w:val="29"/>
          <w:szCs w:val="29"/>
          <w:rtl w:val="0"/>
          <w:lang w:val="en-US"/>
        </w:rPr>
      </w:pPr>
      <w:r>
        <w:rPr>
          <w:rFonts w:ascii="Helvetica Neue" w:hAnsi="Helvetica Neue"/>
          <w:color w:val="0b0c0c"/>
          <w:sz w:val="29"/>
          <w:szCs w:val="29"/>
          <w:u w:color="0b0c0c"/>
          <w:rtl w:val="0"/>
          <w:lang w:val="en-US"/>
        </w:rPr>
        <w:t>Teach an ambitious and broad curriculum in all subjects from the start of the autumn term, but make use of existing flexibilities to create time to cover the most important missed content: Up to and including key stage 3, prioritisation within subjects of the most important components for progression is likely to be more effective than removing subjects, which pupils may struggle to pick up again later. In particular, schools may consider how all subjects can contribute to the filling of gaps in core knowledge, for example through an emphasis on reading</w:t>
      </w:r>
    </w:p>
    <w:p>
      <w:pPr>
        <w:pStyle w:val="Body"/>
        <w:numPr>
          <w:ilvl w:val="0"/>
          <w:numId w:val="4"/>
        </w:numPr>
        <w:shd w:val="clear" w:color="auto" w:fill="ffffff"/>
        <w:bidi w:val="0"/>
        <w:spacing w:after="0" w:line="240" w:lineRule="auto"/>
        <w:ind w:right="0"/>
        <w:jc w:val="left"/>
        <w:rPr>
          <w:rFonts w:ascii="Helvetica Neue" w:hAnsi="Helvetica Neue"/>
          <w:color w:val="0b0c0c"/>
          <w:sz w:val="29"/>
          <w:szCs w:val="29"/>
          <w:rtl w:val="0"/>
          <w:lang w:val="en-US"/>
        </w:rPr>
      </w:pPr>
      <w:r>
        <w:rPr>
          <w:rFonts w:ascii="Helvetica Neue" w:hAnsi="Helvetica Neue"/>
          <w:color w:val="0b0c0c"/>
          <w:sz w:val="29"/>
          <w:szCs w:val="29"/>
          <w:u w:color="0b0c0c"/>
          <w:rtl w:val="0"/>
          <w:lang w:val="en-US"/>
        </w:rPr>
        <w:t>Aim to return to the school</w:t>
      </w:r>
      <w:r>
        <w:rPr>
          <w:rFonts w:ascii="Helvetica Neue" w:hAnsi="Helvetica Neue" w:hint="default"/>
          <w:color w:val="0b0c0c"/>
          <w:sz w:val="29"/>
          <w:szCs w:val="29"/>
          <w:u w:color="0b0c0c"/>
          <w:rtl w:val="0"/>
          <w:lang w:val="en-US"/>
        </w:rPr>
        <w:t>’</w:t>
      </w:r>
      <w:r>
        <w:rPr>
          <w:rFonts w:ascii="Helvetica Neue" w:hAnsi="Helvetica Neue"/>
          <w:color w:val="0b0c0c"/>
          <w:sz w:val="29"/>
          <w:szCs w:val="29"/>
          <w:u w:color="0b0c0c"/>
          <w:rtl w:val="0"/>
          <w:lang w:val="en-US"/>
        </w:rPr>
        <w:t>s normal curriculum in all subjects by summer term 2021: Substantial modification to the curriculum may be needed at the start of the year, so teaching time should be prioritised to address significant gaps in pupils</w:t>
      </w:r>
      <w:r>
        <w:rPr>
          <w:rFonts w:ascii="Helvetica Neue" w:hAnsi="Helvetica Neue" w:hint="default"/>
          <w:color w:val="0b0c0c"/>
          <w:sz w:val="29"/>
          <w:szCs w:val="29"/>
          <w:u w:color="0b0c0c"/>
          <w:rtl w:val="0"/>
          <w:lang w:val="en-US"/>
        </w:rPr>
        <w:t xml:space="preserve">’ </w:t>
      </w:r>
      <w:r>
        <w:rPr>
          <w:rFonts w:ascii="Helvetica Neue" w:hAnsi="Helvetica Neue"/>
          <w:color w:val="0b0c0c"/>
          <w:sz w:val="29"/>
          <w:szCs w:val="29"/>
          <w:u w:color="0b0c0c"/>
          <w:rtl w:val="0"/>
          <w:lang w:val="en-US"/>
        </w:rPr>
        <w:t>knowledge with the aim of returning to the school</w:t>
      </w:r>
      <w:r>
        <w:rPr>
          <w:rFonts w:ascii="Helvetica Neue" w:hAnsi="Helvetica Neue" w:hint="default"/>
          <w:color w:val="0b0c0c"/>
          <w:sz w:val="29"/>
          <w:szCs w:val="29"/>
          <w:u w:color="0b0c0c"/>
          <w:rtl w:val="0"/>
          <w:lang w:val="en-US"/>
        </w:rPr>
        <w:t>’</w:t>
      </w:r>
      <w:r>
        <w:rPr>
          <w:rFonts w:ascii="Helvetica Neue" w:hAnsi="Helvetica Neue"/>
          <w:color w:val="0b0c0c"/>
          <w:sz w:val="29"/>
          <w:szCs w:val="29"/>
          <w:u w:color="0b0c0c"/>
          <w:rtl w:val="0"/>
          <w:lang w:val="en-US"/>
        </w:rPr>
        <w:t>s normal curriculum content by no later than summer term 2021.</w:t>
      </w:r>
    </w:p>
    <w:p>
      <w:pPr>
        <w:pStyle w:val="Body"/>
        <w:numPr>
          <w:ilvl w:val="0"/>
          <w:numId w:val="4"/>
        </w:numPr>
        <w:shd w:val="clear" w:color="auto" w:fill="ffffff"/>
        <w:bidi w:val="0"/>
        <w:spacing w:after="0" w:line="240" w:lineRule="auto"/>
        <w:ind w:right="0"/>
        <w:jc w:val="left"/>
        <w:rPr>
          <w:rFonts w:ascii="Helvetica Neue" w:hAnsi="Helvetica Neue"/>
          <w:color w:val="0b0c0c"/>
          <w:sz w:val="29"/>
          <w:szCs w:val="29"/>
          <w:rtl w:val="0"/>
          <w:lang w:val="en-US"/>
        </w:rPr>
      </w:pPr>
      <w:r>
        <w:rPr>
          <w:rFonts w:ascii="Helvetica Neue" w:hAnsi="Helvetica Neue"/>
          <w:color w:val="0b0c0c"/>
          <w:sz w:val="29"/>
          <w:szCs w:val="29"/>
          <w:u w:color="0b0c0c"/>
          <w:rtl w:val="0"/>
          <w:lang w:val="en-US"/>
        </w:rPr>
        <w:t>Plan on the basis of the educational needs of pupils: Curriculum planning should be informed by an assessment of pupils</w:t>
      </w:r>
      <w:r>
        <w:rPr>
          <w:rFonts w:ascii="Helvetica Neue" w:hAnsi="Helvetica Neue" w:hint="default"/>
          <w:color w:val="0b0c0c"/>
          <w:sz w:val="29"/>
          <w:szCs w:val="29"/>
          <w:u w:color="0b0c0c"/>
          <w:rtl w:val="0"/>
          <w:lang w:val="en-US"/>
        </w:rPr>
        <w:t xml:space="preserve">’ </w:t>
      </w:r>
      <w:r>
        <w:rPr>
          <w:rFonts w:ascii="Helvetica Neue" w:hAnsi="Helvetica Neue"/>
          <w:color w:val="0b0c0c"/>
          <w:sz w:val="29"/>
          <w:szCs w:val="29"/>
          <w:u w:color="0b0c0c"/>
          <w:rtl w:val="0"/>
          <w:lang w:val="en-US"/>
        </w:rPr>
        <w:t>starting points and addressing the gaps in their knowledge and skills, in particular making effective use of regular formative assessment (for example, quizzes, observing pupils in class, talking to pupils to assess understanding, scrutiny of pupils</w:t>
      </w:r>
      <w:r>
        <w:rPr>
          <w:rFonts w:ascii="Helvetica Neue" w:hAnsi="Helvetica Neue" w:hint="default"/>
          <w:color w:val="0b0c0c"/>
          <w:sz w:val="29"/>
          <w:szCs w:val="29"/>
          <w:u w:color="0b0c0c"/>
          <w:rtl w:val="0"/>
          <w:lang w:val="en-US"/>
        </w:rPr>
        <w:t xml:space="preserve">’ </w:t>
      </w:r>
      <w:r>
        <w:rPr>
          <w:rFonts w:ascii="Helvetica Neue" w:hAnsi="Helvetica Neue"/>
          <w:color w:val="0b0c0c"/>
          <w:sz w:val="29"/>
          <w:szCs w:val="29"/>
          <w:u w:color="0b0c0c"/>
          <w:rtl w:val="0"/>
          <w:lang w:val="en-US"/>
        </w:rPr>
        <w:t>work) while avoiding the introduction of unnecessary tracking systems.</w:t>
      </w:r>
    </w:p>
    <w:p>
      <w:pPr>
        <w:pStyle w:val="Body"/>
        <w:numPr>
          <w:ilvl w:val="0"/>
          <w:numId w:val="4"/>
        </w:numPr>
        <w:shd w:val="clear" w:color="auto" w:fill="ffffff"/>
        <w:bidi w:val="0"/>
        <w:spacing w:after="0" w:line="240" w:lineRule="auto"/>
        <w:ind w:right="0"/>
        <w:jc w:val="left"/>
        <w:rPr>
          <w:rFonts w:ascii="Helvetica Neue" w:hAnsi="Helvetica Neue"/>
          <w:color w:val="0b0c0c"/>
          <w:sz w:val="29"/>
          <w:szCs w:val="29"/>
          <w:rtl w:val="0"/>
          <w:lang w:val="en-US"/>
        </w:rPr>
      </w:pPr>
      <w:r>
        <w:rPr>
          <w:rFonts w:ascii="Helvetica Neue" w:hAnsi="Helvetica Neue"/>
          <w:color w:val="0b0c0c"/>
          <w:sz w:val="29"/>
          <w:szCs w:val="29"/>
          <w:u w:color="0b0c0c"/>
          <w:rtl w:val="0"/>
          <w:lang w:val="en-US"/>
        </w:rPr>
        <w:t>Develop remote education so that it is integrated into school curriculum planning: Remote education may need to be an essential component in the delivery of the school curriculum for some pupils, alongside classroom teaching, or in the case of a local lockdown. All schools are therefore expected to plan to ensure any pupils educated at home for some of the time are given the support they need to master the curriculum and so make good progress.</w:t>
      </w:r>
    </w:p>
    <w:p>
      <w:pPr>
        <w:pStyle w:val="Body"/>
        <w:shd w:val="clear" w:color="auto" w:fill="ffffff"/>
        <w:spacing w:before="300" w:after="300" w:line="240" w:lineRule="auto"/>
        <w:rPr>
          <w:color w:val="0b0c0c"/>
          <w:sz w:val="29"/>
          <w:szCs w:val="29"/>
          <w:u w:color="0b0c0c"/>
        </w:rPr>
      </w:pPr>
      <w:r>
        <w:rPr>
          <w:color w:val="0b0c0c"/>
          <w:sz w:val="29"/>
          <w:szCs w:val="29"/>
          <w:u w:color="0b0c0c"/>
          <w:rtl w:val="0"/>
          <w:lang w:val="en-US"/>
        </w:rPr>
        <w:t>Schools may consider it appropriate to suspend some subjects for some pupils in exceptional circumstances. Schools should be able to show that this is in the best the interests of these pupils and this should be subject to discussion with parents during the autumn term. They should also have a coherent plan for returning to their normal curriculum for all pupils by the summer term 2021.</w:t>
      </w:r>
    </w:p>
    <w:p>
      <w:pPr>
        <w:pStyle w:val="Body"/>
        <w:shd w:val="clear" w:color="auto" w:fill="ffffff"/>
        <w:spacing w:before="300" w:after="300" w:line="240" w:lineRule="auto"/>
        <w:rPr>
          <w:color w:val="0b0c0c"/>
          <w:sz w:val="29"/>
          <w:szCs w:val="29"/>
          <w:u w:color="0b0c0c"/>
        </w:rPr>
      </w:pPr>
      <w:r>
        <w:rPr>
          <w:color w:val="0b0c0c"/>
          <w:sz w:val="29"/>
          <w:szCs w:val="29"/>
          <w:u w:color="0b0c0c"/>
          <w:rtl w:val="0"/>
          <w:lang w:val="en-US"/>
        </w:rPr>
        <w:t>Relationships and health education (RHE) for primary aged pupils and relationships, sex and health education (RSHE) for secondary aged pupils becomes compulsory from September 2020, and schools are expected to start teaching by at least the start of the summer term 2021.</w:t>
      </w:r>
    </w:p>
    <w:p>
      <w:pPr>
        <w:pStyle w:val="Body"/>
        <w:shd w:val="clear" w:color="auto" w:fill="ffffff"/>
        <w:spacing w:after="0" w:line="240" w:lineRule="auto"/>
        <w:rPr>
          <w:b w:val="1"/>
          <w:bCs w:val="1"/>
          <w:color w:val="0b0c0c"/>
          <w:sz w:val="29"/>
          <w:szCs w:val="29"/>
          <w:u w:color="0b0c0c"/>
        </w:rPr>
      </w:pPr>
      <w:r>
        <w:rPr>
          <w:b w:val="1"/>
          <w:bCs w:val="1"/>
          <w:color w:val="0b0c0c"/>
          <w:sz w:val="29"/>
          <w:szCs w:val="29"/>
          <w:u w:color="0b0c0c"/>
          <w:rtl w:val="0"/>
          <w:lang w:val="en-US"/>
        </w:rPr>
        <w:t xml:space="preserve">Specific points for </w:t>
      </w:r>
      <w:r>
        <w:rPr>
          <w:b w:val="1"/>
          <w:bCs w:val="1"/>
          <w:color w:val="0b0c0c"/>
          <w:sz w:val="29"/>
          <w:szCs w:val="29"/>
          <w:u w:color="0b0c0c"/>
          <w:rtl w:val="0"/>
          <w:lang w:val="en-US"/>
        </w:rPr>
        <w:t>E</w:t>
      </w:r>
      <w:r>
        <w:rPr>
          <w:b w:val="1"/>
          <w:bCs w:val="1"/>
          <w:color w:val="0b0c0c"/>
          <w:sz w:val="29"/>
          <w:szCs w:val="29"/>
          <w:u w:color="0b0c0c"/>
          <w:rtl w:val="0"/>
          <w:lang w:val="en-US"/>
        </w:rPr>
        <w:t xml:space="preserve">arly </w:t>
      </w:r>
      <w:r>
        <w:rPr>
          <w:b w:val="1"/>
          <w:bCs w:val="1"/>
          <w:color w:val="0b0c0c"/>
          <w:sz w:val="29"/>
          <w:szCs w:val="29"/>
          <w:u w:color="0b0c0c"/>
          <w:rtl w:val="0"/>
          <w:lang w:val="en-US"/>
        </w:rPr>
        <w:t>Y</w:t>
      </w:r>
      <w:r>
        <w:rPr>
          <w:b w:val="1"/>
          <w:bCs w:val="1"/>
          <w:color w:val="0b0c0c"/>
          <w:sz w:val="29"/>
          <w:szCs w:val="29"/>
          <w:u w:color="0b0c0c"/>
          <w:rtl w:val="0"/>
          <w:lang w:val="en-US"/>
        </w:rPr>
        <w:t xml:space="preserve">ears </w:t>
      </w:r>
      <w:r>
        <w:rPr>
          <w:b w:val="1"/>
          <w:bCs w:val="1"/>
          <w:color w:val="0b0c0c"/>
          <w:sz w:val="29"/>
          <w:szCs w:val="29"/>
          <w:u w:color="0b0c0c"/>
          <w:rtl w:val="0"/>
          <w:lang w:val="en-US"/>
        </w:rPr>
        <w:t>F</w:t>
      </w:r>
      <w:r>
        <w:rPr>
          <w:b w:val="1"/>
          <w:bCs w:val="1"/>
          <w:color w:val="0b0c0c"/>
          <w:sz w:val="29"/>
          <w:szCs w:val="29"/>
          <w:u w:color="0b0c0c"/>
          <w:rtl w:val="0"/>
          <w:lang w:val="en-US"/>
        </w:rPr>
        <w:t xml:space="preserve">oundation </w:t>
      </w:r>
      <w:r>
        <w:rPr>
          <w:b w:val="1"/>
          <w:bCs w:val="1"/>
          <w:color w:val="0b0c0c"/>
          <w:sz w:val="29"/>
          <w:szCs w:val="29"/>
          <w:u w:color="0b0c0c"/>
          <w:rtl w:val="0"/>
          <w:lang w:val="en-US"/>
        </w:rPr>
        <w:t>S</w:t>
      </w:r>
      <w:r>
        <w:rPr>
          <w:b w:val="1"/>
          <w:bCs w:val="1"/>
          <w:color w:val="0b0c0c"/>
          <w:sz w:val="29"/>
          <w:szCs w:val="29"/>
          <w:u w:color="0b0c0c"/>
          <w:rtl w:val="0"/>
          <w:lang w:val="en-US"/>
        </w:rPr>
        <w:t xml:space="preserve">tage (EYFS) to </w:t>
      </w:r>
      <w:r>
        <w:rPr>
          <w:b w:val="1"/>
          <w:bCs w:val="1"/>
          <w:color w:val="0b0c0c"/>
          <w:sz w:val="29"/>
          <w:szCs w:val="29"/>
          <w:u w:color="0b0c0c"/>
          <w:rtl w:val="0"/>
          <w:lang w:val="en-US"/>
        </w:rPr>
        <w:t>K</w:t>
      </w:r>
      <w:r>
        <w:rPr>
          <w:b w:val="1"/>
          <w:bCs w:val="1"/>
          <w:color w:val="0b0c0c"/>
          <w:sz w:val="29"/>
          <w:szCs w:val="29"/>
          <w:u w:color="0b0c0c"/>
          <w:rtl w:val="0"/>
          <w:lang w:val="en-US"/>
        </w:rPr>
        <w:t xml:space="preserve">ey </w:t>
      </w:r>
      <w:r>
        <w:rPr>
          <w:b w:val="1"/>
          <w:bCs w:val="1"/>
          <w:color w:val="0b0c0c"/>
          <w:sz w:val="29"/>
          <w:szCs w:val="29"/>
          <w:u w:color="0b0c0c"/>
          <w:rtl w:val="0"/>
          <w:lang w:val="en-US"/>
        </w:rPr>
        <w:t>S</w:t>
      </w:r>
      <w:r>
        <w:rPr>
          <w:b w:val="1"/>
          <w:bCs w:val="1"/>
          <w:color w:val="0b0c0c"/>
          <w:sz w:val="29"/>
          <w:szCs w:val="29"/>
          <w:u w:color="0b0c0c"/>
          <w:rtl w:val="0"/>
          <w:lang w:val="da-DK"/>
        </w:rPr>
        <w:t>tage 3</w:t>
      </w:r>
    </w:p>
    <w:p>
      <w:pPr>
        <w:pStyle w:val="Body"/>
        <w:shd w:val="clear" w:color="auto" w:fill="ffffff"/>
        <w:spacing w:after="0" w:line="240" w:lineRule="auto"/>
        <w:rPr>
          <w:color w:val="0b0c0c"/>
          <w:sz w:val="29"/>
          <w:szCs w:val="29"/>
          <w:u w:color="0b0c0c"/>
        </w:rPr>
      </w:pPr>
    </w:p>
    <w:p>
      <w:pPr>
        <w:pStyle w:val="Body"/>
        <w:shd w:val="clear" w:color="auto" w:fill="ffffff"/>
        <w:spacing w:after="0" w:line="240" w:lineRule="auto"/>
        <w:rPr>
          <w:rStyle w:val="None"/>
          <w:color w:val="0b0c0c"/>
          <w:sz w:val="29"/>
          <w:szCs w:val="29"/>
          <w:u w:color="0b0c0c"/>
        </w:rPr>
      </w:pPr>
      <w:r>
        <w:rPr>
          <w:color w:val="0b0c0c"/>
          <w:sz w:val="29"/>
          <w:szCs w:val="29"/>
          <w:u w:color="0b0c0c"/>
          <w:rtl w:val="0"/>
          <w:lang w:val="en-US"/>
        </w:rPr>
        <w:t>For children in nursery settings, teachers should focus on the prime areas of learning, including: communication and language, personal, social and emotional development (PSED) and physical development. For pupils in Reception, teachers should also assess and address gaps in language, early reading and mathematics, particularly ensuring children</w:t>
      </w:r>
      <w:r>
        <w:rPr>
          <w:color w:val="0b0c0c"/>
          <w:sz w:val="29"/>
          <w:szCs w:val="29"/>
          <w:u w:color="0b0c0c"/>
          <w:rtl w:val="0"/>
          <w:lang w:val="en-US"/>
        </w:rPr>
        <w:t>’</w:t>
      </w:r>
      <w:r>
        <w:rPr>
          <w:color w:val="0b0c0c"/>
          <w:sz w:val="29"/>
          <w:szCs w:val="29"/>
          <w:u w:color="0b0c0c"/>
          <w:rtl w:val="0"/>
          <w:lang w:val="en-US"/>
        </w:rPr>
        <w:t>s acquisition of phonic knowledge and extending their vocabulary. Settings should follow updates to the</w:t>
      </w:r>
      <w:r>
        <w:rPr>
          <w:color w:val="0b0c0c"/>
          <w:sz w:val="29"/>
          <w:szCs w:val="29"/>
          <w:u w:color="0b0c0c"/>
          <w:rtl w:val="0"/>
          <w:lang w:val="en-US"/>
        </w:rPr>
        <w:t> </w:t>
      </w:r>
      <w:r>
        <w:rPr>
          <w:rStyle w:val="Hyperlink.0"/>
        </w:rPr>
        <w:fldChar w:fldCharType="begin" w:fldLock="0"/>
      </w:r>
      <w:r>
        <w:rPr>
          <w:rStyle w:val="Hyperlink.0"/>
        </w:rPr>
        <w:instrText xml:space="preserve"> HYPERLINK "https://www.gov.uk/government/publications/early-years-foundation-stage-framework--2/early-years-foundation-stage-coronavirus-disapplications"</w:instrText>
      </w:r>
      <w:r>
        <w:rPr>
          <w:rStyle w:val="Hyperlink.0"/>
        </w:rPr>
        <w:fldChar w:fldCharType="separate" w:fldLock="0"/>
      </w:r>
      <w:r>
        <w:rPr>
          <w:rStyle w:val="Hyperlink.0"/>
          <w:rtl w:val="0"/>
        </w:rPr>
        <w:t>EYFS disapplication guidance</w:t>
      </w:r>
      <w:r>
        <w:rPr/>
        <w:fldChar w:fldCharType="end" w:fldLock="0"/>
      </w:r>
      <w:r>
        <w:rPr>
          <w:rStyle w:val="None"/>
          <w:color w:val="0b0c0c"/>
          <w:sz w:val="29"/>
          <w:szCs w:val="29"/>
          <w:u w:color="0b0c0c"/>
          <w:rtl w:val="0"/>
          <w:lang w:val="en-US"/>
        </w:rPr>
        <w:t>. For nursery settings and Reception, consider how all groups of children can be given equal opportunities for outdoor learning.</w:t>
      </w:r>
    </w:p>
    <w:p>
      <w:pPr>
        <w:pStyle w:val="Body"/>
        <w:shd w:val="clear" w:color="auto" w:fill="ffffff"/>
        <w:spacing w:before="300" w:after="300" w:line="240" w:lineRule="auto"/>
        <w:rPr>
          <w:rStyle w:val="None"/>
          <w:color w:val="0b0c0c"/>
          <w:sz w:val="29"/>
          <w:szCs w:val="29"/>
          <w:u w:color="0b0c0c"/>
        </w:rPr>
      </w:pPr>
      <w:r>
        <w:rPr>
          <w:rStyle w:val="None"/>
          <w:color w:val="0b0c0c"/>
          <w:sz w:val="29"/>
          <w:szCs w:val="29"/>
          <w:u w:color="0b0c0c"/>
          <w:rtl w:val="0"/>
          <w:lang w:val="en-US"/>
        </w:rPr>
        <w:t>For pupils in key stages 1 and 2, school leaders are expected to prioritise identifying gaps and re-establish good progress in the essentials (phonics and reading, increasing vocabulary, writing and mathematics), identifying opportunities across the curriculum so they read widely, and developing their knowledge and vocabulary. The curriculum should remain broad, so that the majority of pupils are taught a full range of subjects over the year, including sciences, humanities, the arts, physical education/sport, religious education and relationships and health education.</w:t>
      </w:r>
    </w:p>
    <w:p>
      <w:pPr>
        <w:pStyle w:val="Body"/>
        <w:shd w:val="clear" w:color="auto" w:fill="ffffff"/>
        <w:spacing w:before="300" w:after="300" w:line="240" w:lineRule="auto"/>
        <w:rPr>
          <w:rStyle w:val="None"/>
          <w:color w:val="0b0c0c"/>
          <w:sz w:val="29"/>
          <w:szCs w:val="29"/>
          <w:u w:color="0b0c0c"/>
        </w:rPr>
      </w:pPr>
      <w:r>
        <w:rPr>
          <w:rStyle w:val="None"/>
          <w:color w:val="0b0c0c"/>
          <w:sz w:val="29"/>
          <w:szCs w:val="29"/>
          <w:u w:color="0b0c0c"/>
          <w:rtl w:val="0"/>
          <w:lang w:val="en-US"/>
        </w:rPr>
        <w:t>For pupils in key stage 3, the curriculum should also remain broad from year 7 to year 9 so that the majority of pupils are taught a full range of subjects over the year, including sciences, languages, humanities, the arts, physical education/sport, religious education and relationships, sex and health education. For pupils in year 7, it may be necessary to address gaps in English and maths by teaching essential knowledge and skills from the key stage 2 curriculum.</w:t>
      </w:r>
    </w:p>
    <w:p>
      <w:pPr>
        <w:pStyle w:val="Body"/>
        <w:shd w:val="clear" w:color="auto" w:fill="ffffff"/>
        <w:spacing w:before="300" w:after="300" w:line="240" w:lineRule="auto"/>
        <w:rPr>
          <w:rStyle w:val="None"/>
          <w:b w:val="1"/>
          <w:bCs w:val="1"/>
          <w:color w:val="0b0c0c"/>
          <w:sz w:val="41"/>
          <w:szCs w:val="41"/>
          <w:u w:color="0b0c0c"/>
        </w:rPr>
      </w:pPr>
      <w:r>
        <w:rPr>
          <w:rStyle w:val="None"/>
          <w:b w:val="1"/>
          <w:bCs w:val="1"/>
          <w:color w:val="0b0c0c"/>
          <w:sz w:val="41"/>
          <w:szCs w:val="41"/>
          <w:u w:color="0b0c0c"/>
          <w:rtl w:val="0"/>
          <w:lang w:val="en-US"/>
        </w:rPr>
        <w:t>Physical activity in schools</w:t>
      </w:r>
    </w:p>
    <w:p>
      <w:pPr>
        <w:pStyle w:val="Body"/>
        <w:shd w:val="clear" w:color="auto" w:fill="ffffff"/>
        <w:spacing w:before="300" w:after="300" w:line="240" w:lineRule="auto"/>
        <w:rPr>
          <w:rStyle w:val="None"/>
          <w:color w:val="0b0c0c"/>
          <w:sz w:val="29"/>
          <w:szCs w:val="29"/>
          <w:u w:color="0b0c0c"/>
        </w:rPr>
      </w:pPr>
      <w:r>
        <w:rPr>
          <w:rStyle w:val="None"/>
          <w:color w:val="0b0c0c"/>
          <w:sz w:val="29"/>
          <w:szCs w:val="29"/>
          <w:u w:color="0b0c0c"/>
          <w:rtl w:val="0"/>
          <w:lang w:val="en-US"/>
        </w:rPr>
        <w:t>Schools have the flexibility to decide how physical education, sport and physical activity will be provided whilst following the measures in their system of controls. Pupils should be kept in consistent groups, sports equipment thoroughly cleaned between each use by different individual groups, and contact sports avoided.</w:t>
      </w:r>
    </w:p>
    <w:p>
      <w:pPr>
        <w:pStyle w:val="Body"/>
        <w:shd w:val="clear" w:color="auto" w:fill="ffffff"/>
        <w:spacing w:before="300" w:after="300" w:line="240" w:lineRule="auto"/>
        <w:rPr>
          <w:rStyle w:val="None"/>
          <w:color w:val="0b0c0c"/>
          <w:sz w:val="29"/>
          <w:szCs w:val="29"/>
          <w:u w:color="0b0c0c"/>
        </w:rPr>
      </w:pPr>
      <w:r>
        <w:rPr>
          <w:rStyle w:val="None"/>
          <w:color w:val="0b0c0c"/>
          <w:sz w:val="29"/>
          <w:szCs w:val="29"/>
          <w:u w:color="0b0c0c"/>
          <w:rtl w:val="0"/>
          <w:lang w:val="en-US"/>
        </w:rPr>
        <w:t>Outdoor sports should be prioritised where possible, and large indoor spaces used where it is not, maximising distancing between pupils and paying scrupulous attention to cleaning and hygiene. This is particularly important in a sports setting because of the way in which people breathe during exercise. External facilities can also be used in line with government guidance for the use of, and travel to and from, those facilities.</w:t>
      </w:r>
    </w:p>
    <w:p>
      <w:pPr>
        <w:pStyle w:val="Body"/>
        <w:shd w:val="clear" w:color="auto" w:fill="ffffff"/>
        <w:spacing w:before="300" w:after="300" w:line="240" w:lineRule="auto"/>
        <w:rPr>
          <w:rStyle w:val="None"/>
          <w:color w:val="0b0c0c"/>
          <w:sz w:val="29"/>
          <w:szCs w:val="29"/>
          <w:u w:color="0b0c0c"/>
        </w:rPr>
      </w:pPr>
      <w:r>
        <w:rPr>
          <w:rStyle w:val="None"/>
          <w:color w:val="0b0c0c"/>
          <w:sz w:val="29"/>
          <w:szCs w:val="29"/>
          <w:u w:color="0b0c0c"/>
          <w:rtl w:val="0"/>
          <w:lang w:val="en-US"/>
        </w:rPr>
        <w:t>Schools should refer to the following advice:</w:t>
      </w:r>
    </w:p>
    <w:p>
      <w:pPr>
        <w:pStyle w:val="Body"/>
        <w:numPr>
          <w:ilvl w:val="0"/>
          <w:numId w:val="6"/>
        </w:numPr>
        <w:shd w:val="clear" w:color="auto" w:fill="ffffff"/>
        <w:bidi w:val="0"/>
        <w:spacing w:after="0" w:line="240" w:lineRule="auto"/>
        <w:ind w:right="0"/>
        <w:jc w:val="left"/>
        <w:rPr>
          <w:rFonts w:ascii="Helvetica Neue" w:cs="Helvetica Neue" w:hAnsi="Helvetica Neue" w:eastAsia="Helvetica Neue"/>
          <w:color w:val="0b0c0c"/>
          <w:sz w:val="29"/>
          <w:szCs w:val="29"/>
          <w:rtl w:val="0"/>
        </w:rPr>
      </w:pPr>
      <w:r>
        <w:rPr>
          <w:rStyle w:val="Hyperlink.1"/>
          <w:rFonts w:ascii="Helvetica Neue" w:cs="Helvetica Neue" w:hAnsi="Helvetica Neue" w:eastAsia="Helvetica Neue"/>
          <w:color w:val="4c2c92"/>
          <w:sz w:val="29"/>
          <w:szCs w:val="29"/>
          <w:u w:val="single" w:color="4c2c92"/>
        </w:rPr>
        <w:fldChar w:fldCharType="begin" w:fldLock="0"/>
      </w:r>
      <w:r>
        <w:rPr>
          <w:rStyle w:val="Hyperlink.1"/>
          <w:rFonts w:ascii="Helvetica Neue" w:cs="Helvetica Neue" w:hAnsi="Helvetica Neue" w:eastAsia="Helvetica Neue"/>
          <w:color w:val="4c2c92"/>
          <w:sz w:val="29"/>
          <w:szCs w:val="29"/>
          <w:u w:val="single" w:color="4c2c92"/>
        </w:rPr>
        <w:instrText xml:space="preserve"> HYPERLINK "https://www.gov.uk/government/publications/coronavirus-covid-19-guidance-on-phased-return-of-sport-and-recreation"</w:instrText>
      </w:r>
      <w:r>
        <w:rPr>
          <w:rStyle w:val="Hyperlink.1"/>
          <w:rFonts w:ascii="Helvetica Neue" w:cs="Helvetica Neue" w:hAnsi="Helvetica Neue" w:eastAsia="Helvetica Neue"/>
          <w:color w:val="4c2c92"/>
          <w:sz w:val="29"/>
          <w:szCs w:val="29"/>
          <w:u w:val="single" w:color="4c2c92"/>
        </w:rPr>
        <w:fldChar w:fldCharType="separate" w:fldLock="0"/>
      </w:r>
      <w:r>
        <w:rPr>
          <w:rStyle w:val="Hyperlink.1"/>
          <w:rFonts w:ascii="Helvetica Neue" w:hAnsi="Helvetica Neue"/>
          <w:color w:val="4c2c92"/>
          <w:sz w:val="29"/>
          <w:szCs w:val="29"/>
          <w:u w:val="single" w:color="4c2c92"/>
          <w:rtl w:val="0"/>
          <w:lang w:val="en-US"/>
        </w:rPr>
        <w:t>guidance on the phased return of sport and recreation</w:t>
      </w:r>
      <w:r>
        <w:rPr>
          <w:rFonts w:ascii="Helvetica Neue" w:cs="Helvetica Neue" w:hAnsi="Helvetica Neue" w:eastAsia="Helvetica Neue"/>
          <w:color w:val="0b0c0c"/>
          <w:sz w:val="29"/>
          <w:szCs w:val="29"/>
        </w:rPr>
        <w:fldChar w:fldCharType="end" w:fldLock="0"/>
      </w:r>
      <w:r>
        <w:rPr>
          <w:rStyle w:val="None"/>
          <w:rFonts w:ascii="Helvetica Neue" w:hAnsi="Helvetica Neue" w:hint="default"/>
          <w:color w:val="0b0c0c"/>
          <w:sz w:val="29"/>
          <w:szCs w:val="29"/>
          <w:u w:color="0b0c0c"/>
          <w:rtl w:val="0"/>
          <w:lang w:val="en-US"/>
        </w:rPr>
        <w:t> </w:t>
      </w:r>
      <w:r>
        <w:rPr>
          <w:rStyle w:val="None"/>
          <w:rFonts w:ascii="Helvetica Neue" w:hAnsi="Helvetica Neue"/>
          <w:color w:val="0b0c0c"/>
          <w:sz w:val="29"/>
          <w:szCs w:val="29"/>
          <w:u w:color="0b0c0c"/>
          <w:rtl w:val="0"/>
          <w:lang w:val="en-US"/>
        </w:rPr>
        <w:t>and guidance from</w:t>
      </w:r>
      <w:r>
        <w:rPr>
          <w:rStyle w:val="None"/>
          <w:rFonts w:ascii="Helvetica Neue" w:hAnsi="Helvetica Neue" w:hint="default"/>
          <w:color w:val="0b0c0c"/>
          <w:sz w:val="29"/>
          <w:szCs w:val="29"/>
          <w:u w:color="0b0c0c"/>
          <w:rtl w:val="0"/>
          <w:lang w:val="en-US"/>
        </w:rPr>
        <w:t> </w:t>
      </w:r>
      <w:r>
        <w:rPr>
          <w:rStyle w:val="Hyperlink.1"/>
          <w:rFonts w:ascii="Helvetica Neue" w:cs="Helvetica Neue" w:hAnsi="Helvetica Neue" w:eastAsia="Helvetica Neue"/>
          <w:color w:val="4c2c92"/>
          <w:sz w:val="29"/>
          <w:szCs w:val="29"/>
          <w:u w:val="single" w:color="4c2c92"/>
        </w:rPr>
        <w:fldChar w:fldCharType="begin" w:fldLock="0"/>
      </w:r>
      <w:r>
        <w:rPr>
          <w:rStyle w:val="Hyperlink.1"/>
          <w:rFonts w:ascii="Helvetica Neue" w:cs="Helvetica Neue" w:hAnsi="Helvetica Neue" w:eastAsia="Helvetica Neue"/>
          <w:color w:val="4c2c92"/>
          <w:sz w:val="29"/>
          <w:szCs w:val="29"/>
          <w:u w:val="single" w:color="4c2c92"/>
        </w:rPr>
        <w:instrText xml:space="preserve"> HYPERLINK "https://www.sportengland.org/how-we-can-help/coronavirus"</w:instrText>
      </w:r>
      <w:r>
        <w:rPr>
          <w:rStyle w:val="Hyperlink.1"/>
          <w:rFonts w:ascii="Helvetica Neue" w:cs="Helvetica Neue" w:hAnsi="Helvetica Neue" w:eastAsia="Helvetica Neue"/>
          <w:color w:val="4c2c92"/>
          <w:sz w:val="29"/>
          <w:szCs w:val="29"/>
          <w:u w:val="single" w:color="4c2c92"/>
        </w:rPr>
        <w:fldChar w:fldCharType="separate" w:fldLock="0"/>
      </w:r>
      <w:r>
        <w:rPr>
          <w:rStyle w:val="Hyperlink.1"/>
          <w:rFonts w:ascii="Helvetica Neue" w:hAnsi="Helvetica Neue"/>
          <w:color w:val="4c2c92"/>
          <w:sz w:val="29"/>
          <w:szCs w:val="29"/>
          <w:u w:val="single" w:color="4c2c92"/>
          <w:rtl w:val="0"/>
          <w:lang w:val="en-US"/>
        </w:rPr>
        <w:t>Sport England</w:t>
      </w:r>
      <w:r>
        <w:rPr>
          <w:rFonts w:ascii="Helvetica Neue" w:cs="Helvetica Neue" w:hAnsi="Helvetica Neue" w:eastAsia="Helvetica Neue"/>
          <w:color w:val="0b0c0c"/>
          <w:sz w:val="29"/>
          <w:szCs w:val="29"/>
        </w:rPr>
        <w:fldChar w:fldCharType="end" w:fldLock="0"/>
      </w:r>
      <w:r>
        <w:rPr>
          <w:rStyle w:val="None"/>
          <w:rFonts w:ascii="Helvetica Neue" w:hAnsi="Helvetica Neue" w:hint="default"/>
          <w:color w:val="0b0c0c"/>
          <w:sz w:val="29"/>
          <w:szCs w:val="29"/>
          <w:u w:color="0b0c0c"/>
          <w:rtl w:val="0"/>
          <w:lang w:val="en-US"/>
        </w:rPr>
        <w:t> </w:t>
      </w:r>
      <w:r>
        <w:rPr>
          <w:rStyle w:val="None"/>
          <w:rFonts w:ascii="Helvetica Neue" w:hAnsi="Helvetica Neue"/>
          <w:color w:val="0b0c0c"/>
          <w:sz w:val="29"/>
          <w:szCs w:val="29"/>
          <w:u w:color="0b0c0c"/>
          <w:rtl w:val="0"/>
          <w:lang w:val="nl-NL"/>
        </w:rPr>
        <w:t>for grassroot sport</w:t>
      </w:r>
    </w:p>
    <w:p>
      <w:pPr>
        <w:pStyle w:val="Body"/>
        <w:numPr>
          <w:ilvl w:val="0"/>
          <w:numId w:val="6"/>
        </w:numPr>
        <w:shd w:val="clear" w:color="auto" w:fill="ffffff"/>
        <w:bidi w:val="0"/>
        <w:spacing w:after="0" w:line="240" w:lineRule="auto"/>
        <w:ind w:right="0"/>
        <w:jc w:val="left"/>
        <w:rPr>
          <w:rFonts w:ascii="Helvetica Neue" w:hAnsi="Helvetica Neue"/>
          <w:color w:val="0b0c0c"/>
          <w:sz w:val="29"/>
          <w:szCs w:val="29"/>
          <w:rtl w:val="0"/>
          <w:lang w:val="en-US"/>
        </w:rPr>
      </w:pPr>
      <w:r>
        <w:rPr>
          <w:rStyle w:val="None"/>
          <w:rFonts w:ascii="Helvetica Neue" w:hAnsi="Helvetica Neue"/>
          <w:color w:val="0b0c0c"/>
          <w:sz w:val="29"/>
          <w:szCs w:val="29"/>
          <w:u w:color="0b0c0c"/>
          <w:rtl w:val="0"/>
          <w:lang w:val="en-US"/>
        </w:rPr>
        <w:t>advice from organisations such as the</w:t>
      </w:r>
      <w:r>
        <w:rPr>
          <w:rStyle w:val="None"/>
          <w:rFonts w:ascii="Helvetica Neue" w:hAnsi="Helvetica Neue" w:hint="default"/>
          <w:color w:val="0b0c0c"/>
          <w:sz w:val="29"/>
          <w:szCs w:val="29"/>
          <w:u w:color="0b0c0c"/>
          <w:rtl w:val="0"/>
          <w:lang w:val="en-US"/>
        </w:rPr>
        <w:t> </w:t>
      </w:r>
      <w:r>
        <w:rPr>
          <w:rStyle w:val="Hyperlink.1"/>
          <w:rFonts w:ascii="Helvetica Neue" w:cs="Helvetica Neue" w:hAnsi="Helvetica Neue" w:eastAsia="Helvetica Neue"/>
          <w:color w:val="4c2c92"/>
          <w:sz w:val="29"/>
          <w:szCs w:val="29"/>
          <w:u w:val="single" w:color="4c2c92"/>
        </w:rPr>
        <w:fldChar w:fldCharType="begin" w:fldLock="0"/>
      </w:r>
      <w:r>
        <w:rPr>
          <w:rStyle w:val="Hyperlink.1"/>
          <w:rFonts w:ascii="Helvetica Neue" w:cs="Helvetica Neue" w:hAnsi="Helvetica Neue" w:eastAsia="Helvetica Neue"/>
          <w:color w:val="4c2c92"/>
          <w:sz w:val="29"/>
          <w:szCs w:val="29"/>
          <w:u w:val="single" w:color="4c2c92"/>
        </w:rPr>
        <w:instrText xml:space="preserve"> HYPERLINK "https://www.afpe.org.uk/physical-education/wp-content/uploads/COVID-19-Interpreting-the-Government-Guidance-in-a-PESSPA-Context-FINAL.pdf."</w:instrText>
      </w:r>
      <w:r>
        <w:rPr>
          <w:rStyle w:val="Hyperlink.1"/>
          <w:rFonts w:ascii="Helvetica Neue" w:cs="Helvetica Neue" w:hAnsi="Helvetica Neue" w:eastAsia="Helvetica Neue"/>
          <w:color w:val="4c2c92"/>
          <w:sz w:val="29"/>
          <w:szCs w:val="29"/>
          <w:u w:val="single" w:color="4c2c92"/>
        </w:rPr>
        <w:fldChar w:fldCharType="separate" w:fldLock="0"/>
      </w:r>
      <w:r>
        <w:rPr>
          <w:rStyle w:val="Hyperlink.1"/>
          <w:rFonts w:ascii="Helvetica Neue" w:hAnsi="Helvetica Neue"/>
          <w:color w:val="4c2c92"/>
          <w:sz w:val="29"/>
          <w:szCs w:val="29"/>
          <w:u w:val="single" w:color="4c2c92"/>
          <w:rtl w:val="0"/>
          <w:lang w:val="en-US"/>
        </w:rPr>
        <w:t>Association for Physical Education</w:t>
      </w:r>
      <w:r>
        <w:rPr>
          <w:rFonts w:ascii="Helvetica Neue" w:cs="Helvetica Neue" w:hAnsi="Helvetica Neue" w:eastAsia="Helvetica Neue"/>
          <w:color w:val="0b0c0c"/>
          <w:sz w:val="29"/>
          <w:szCs w:val="29"/>
        </w:rPr>
        <w:fldChar w:fldCharType="end" w:fldLock="0"/>
      </w:r>
      <w:r>
        <w:rPr>
          <w:rStyle w:val="None"/>
          <w:rFonts w:ascii="Helvetica Neue" w:hAnsi="Helvetica Neue" w:hint="default"/>
          <w:color w:val="0b0c0c"/>
          <w:sz w:val="29"/>
          <w:szCs w:val="29"/>
          <w:u w:color="0b0c0c"/>
          <w:rtl w:val="0"/>
          <w:lang w:val="en-US"/>
        </w:rPr>
        <w:t> </w:t>
      </w:r>
      <w:r>
        <w:rPr>
          <w:rStyle w:val="None"/>
          <w:rFonts w:ascii="Helvetica Neue" w:hAnsi="Helvetica Neue"/>
          <w:color w:val="0b0c0c"/>
          <w:sz w:val="29"/>
          <w:szCs w:val="29"/>
          <w:u w:color="0b0c0c"/>
          <w:rtl w:val="0"/>
          <w:lang w:val="en-US"/>
        </w:rPr>
        <w:t>and the</w:t>
      </w:r>
      <w:r>
        <w:rPr>
          <w:rStyle w:val="None"/>
          <w:rFonts w:ascii="Helvetica Neue" w:hAnsi="Helvetica Neue" w:hint="default"/>
          <w:color w:val="0b0c0c"/>
          <w:sz w:val="29"/>
          <w:szCs w:val="29"/>
          <w:u w:color="0b0c0c"/>
          <w:rtl w:val="0"/>
          <w:lang w:val="en-US"/>
        </w:rPr>
        <w:t> </w:t>
      </w:r>
      <w:r>
        <w:rPr>
          <w:rStyle w:val="Hyperlink.1"/>
          <w:rFonts w:ascii="Helvetica Neue" w:cs="Helvetica Neue" w:hAnsi="Helvetica Neue" w:eastAsia="Helvetica Neue"/>
          <w:color w:val="4c2c92"/>
          <w:sz w:val="29"/>
          <w:szCs w:val="29"/>
          <w:u w:val="single" w:color="4c2c92"/>
        </w:rPr>
        <w:fldChar w:fldCharType="begin" w:fldLock="0"/>
      </w:r>
      <w:r>
        <w:rPr>
          <w:rStyle w:val="Hyperlink.1"/>
          <w:rFonts w:ascii="Helvetica Neue" w:cs="Helvetica Neue" w:hAnsi="Helvetica Neue" w:eastAsia="Helvetica Neue"/>
          <w:color w:val="4c2c92"/>
          <w:sz w:val="29"/>
          <w:szCs w:val="29"/>
          <w:u w:val="single" w:color="4c2c92"/>
        </w:rPr>
        <w:instrText xml:space="preserve"> HYPERLINK "https://www.youthsporttrust.org/coronavirus-support-schools"</w:instrText>
      </w:r>
      <w:r>
        <w:rPr>
          <w:rStyle w:val="Hyperlink.1"/>
          <w:rFonts w:ascii="Helvetica Neue" w:cs="Helvetica Neue" w:hAnsi="Helvetica Neue" w:eastAsia="Helvetica Neue"/>
          <w:color w:val="4c2c92"/>
          <w:sz w:val="29"/>
          <w:szCs w:val="29"/>
          <w:u w:val="single" w:color="4c2c92"/>
        </w:rPr>
        <w:fldChar w:fldCharType="separate" w:fldLock="0"/>
      </w:r>
      <w:r>
        <w:rPr>
          <w:rStyle w:val="Hyperlink.1"/>
          <w:rFonts w:ascii="Helvetica Neue" w:hAnsi="Helvetica Neue"/>
          <w:color w:val="4c2c92"/>
          <w:sz w:val="29"/>
          <w:szCs w:val="29"/>
          <w:u w:val="single" w:color="4c2c92"/>
          <w:rtl w:val="0"/>
          <w:lang w:val="en-US"/>
        </w:rPr>
        <w:t>Youth Sport Trust</w:t>
      </w:r>
      <w:r>
        <w:rPr>
          <w:rFonts w:ascii="Helvetica Neue" w:cs="Helvetica Neue" w:hAnsi="Helvetica Neue" w:eastAsia="Helvetica Neue"/>
          <w:color w:val="0b0c0c"/>
          <w:sz w:val="29"/>
          <w:szCs w:val="29"/>
        </w:rPr>
        <w:fldChar w:fldCharType="end" w:fldLock="0"/>
      </w:r>
    </w:p>
    <w:p>
      <w:pPr>
        <w:pStyle w:val="Body"/>
        <w:shd w:val="clear" w:color="auto" w:fill="ffffff"/>
        <w:spacing w:before="300" w:after="300" w:line="240" w:lineRule="auto"/>
        <w:rPr>
          <w:rStyle w:val="None"/>
          <w:color w:val="0b0c0c"/>
          <w:sz w:val="29"/>
          <w:szCs w:val="29"/>
          <w:u w:color="0b0c0c"/>
        </w:rPr>
      </w:pPr>
      <w:r>
        <w:rPr>
          <w:rStyle w:val="None"/>
          <w:color w:val="0b0c0c"/>
          <w:sz w:val="29"/>
          <w:szCs w:val="29"/>
          <w:u w:color="0b0c0c"/>
          <w:rtl w:val="0"/>
          <w:lang w:val="en-US"/>
        </w:rPr>
        <w:t>Schools are able to work with external coaches, clubs and organisations for curricular and extra-curricular activities where they are satisfied that this is safe to do so. Schools should consider carefully how such arrangements can operate within their wider protective measures.</w:t>
      </w:r>
    </w:p>
    <w:p>
      <w:pPr>
        <w:pStyle w:val="Body"/>
        <w:shd w:val="clear" w:color="auto" w:fill="ffffff"/>
        <w:spacing w:before="300" w:after="300" w:line="240" w:lineRule="auto"/>
        <w:rPr>
          <w:rStyle w:val="None"/>
          <w:color w:val="0b0c0c"/>
          <w:sz w:val="29"/>
          <w:szCs w:val="29"/>
          <w:u w:color="0b0c0c"/>
        </w:rPr>
      </w:pPr>
      <w:r>
        <w:rPr>
          <w:rStyle w:val="None"/>
          <w:color w:val="0b0c0c"/>
          <w:sz w:val="29"/>
          <w:szCs w:val="29"/>
          <w:u w:color="0b0c0c"/>
          <w:rtl w:val="0"/>
          <w:lang w:val="en-US"/>
        </w:rPr>
        <w:t>Activities such as active miles, making break times and lessons active and encouraging active travel help enable pupils to be physically active while encouraging physical distancing.</w:t>
      </w:r>
    </w:p>
    <w:p>
      <w:pPr>
        <w:pStyle w:val="Body"/>
        <w:shd w:val="clear" w:color="auto" w:fill="ffffff"/>
        <w:spacing w:before="300" w:after="300" w:line="240" w:lineRule="auto"/>
        <w:rPr>
          <w:rStyle w:val="None"/>
          <w:color w:val="0b0c0c"/>
          <w:sz w:val="29"/>
          <w:szCs w:val="29"/>
          <w:u w:color="0b0c0c"/>
          <w:shd w:val="clear" w:color="auto" w:fill="ffffff"/>
        </w:rPr>
      </w:pPr>
      <w:r>
        <w:rPr>
          <w:rtl w:val="0"/>
        </w:rPr>
        <w:t>DfE</w:t>
      </w:r>
      <w:r>
        <w:rPr>
          <w:rStyle w:val="None"/>
          <w:color w:val="0b0c0c"/>
          <w:sz w:val="29"/>
          <w:szCs w:val="29"/>
          <w:u w:color="0b0c0c"/>
          <w:shd w:val="clear" w:color="auto" w:fill="ffffff"/>
          <w:rtl w:val="0"/>
          <w:lang w:val="en-US"/>
        </w:rPr>
        <w:t> </w:t>
      </w:r>
      <w:r>
        <w:rPr>
          <w:rStyle w:val="None"/>
          <w:color w:val="0b0c0c"/>
          <w:sz w:val="29"/>
          <w:szCs w:val="29"/>
          <w:u w:color="0b0c0c"/>
          <w:shd w:val="clear" w:color="auto" w:fill="ffffff"/>
          <w:rtl w:val="0"/>
          <w:lang w:val="en-US"/>
        </w:rPr>
        <w:t>has also published the first of the relationships, sex and health education training modules for teachers to support them in preparation to deliver content on mental health and wellbeing. The training module on</w:t>
      </w:r>
      <w:r>
        <w:rPr>
          <w:rStyle w:val="None"/>
          <w:color w:val="0b0c0c"/>
          <w:sz w:val="29"/>
          <w:szCs w:val="29"/>
          <w:u w:color="0b0c0c"/>
          <w:shd w:val="clear" w:color="auto" w:fill="ffffff"/>
          <w:rtl w:val="0"/>
          <w:lang w:val="en-US"/>
        </w:rPr>
        <w:t> </w:t>
      </w:r>
      <w:r>
        <w:rPr>
          <w:rStyle w:val="Hyperlink.2"/>
        </w:rPr>
        <w:fldChar w:fldCharType="begin" w:fldLock="0"/>
      </w:r>
      <w:r>
        <w:rPr>
          <w:rStyle w:val="Hyperlink.2"/>
        </w:rPr>
        <w:instrText xml:space="preserve"> HYPERLINK "https://www.gov.uk/guidance/teaching-about-mental-wellbeing"</w:instrText>
      </w:r>
      <w:r>
        <w:rPr>
          <w:rStyle w:val="Hyperlink.2"/>
        </w:rPr>
        <w:fldChar w:fldCharType="separate" w:fldLock="0"/>
      </w:r>
      <w:r>
        <w:rPr>
          <w:rStyle w:val="Hyperlink.2"/>
          <w:rtl w:val="0"/>
          <w:lang w:val="en-US"/>
        </w:rPr>
        <w:t>teaching about mental wellbeing</w:t>
      </w:r>
      <w:r>
        <w:rPr/>
        <w:fldChar w:fldCharType="end" w:fldLock="0"/>
      </w:r>
      <w:r>
        <w:rPr>
          <w:rStyle w:val="None"/>
          <w:color w:val="0b0c0c"/>
          <w:sz w:val="29"/>
          <w:szCs w:val="29"/>
          <w:u w:color="0b0c0c"/>
          <w:shd w:val="clear" w:color="auto" w:fill="ffffff"/>
          <w:rtl w:val="0"/>
          <w:lang w:val="en-US"/>
        </w:rPr>
        <w:t>, which has been developed with clinical experts and schools, will improve teacher confidence in talking and teaching about mental health and wellbeing in the classroom. It was published early given the importance of supporting pupils</w:t>
      </w:r>
      <w:r>
        <w:rPr>
          <w:rStyle w:val="None"/>
          <w:color w:val="0b0c0c"/>
          <w:sz w:val="29"/>
          <w:szCs w:val="29"/>
          <w:u w:color="0b0c0c"/>
          <w:shd w:val="clear" w:color="auto" w:fill="ffffff"/>
          <w:rtl w:val="0"/>
          <w:lang w:val="en-US"/>
        </w:rPr>
        <w:t xml:space="preserve">’ </w:t>
      </w:r>
      <w:r>
        <w:rPr>
          <w:rStyle w:val="None"/>
          <w:color w:val="0b0c0c"/>
          <w:sz w:val="29"/>
          <w:szCs w:val="29"/>
          <w:u w:color="0b0c0c"/>
          <w:shd w:val="clear" w:color="auto" w:fill="ffffff"/>
          <w:rtl w:val="0"/>
          <w:lang w:val="en-US"/>
        </w:rPr>
        <w:t>mental health and wellbeing at this time.</w:t>
      </w:r>
    </w:p>
    <w:p>
      <w:pPr>
        <w:pStyle w:val="Body"/>
        <w:shd w:val="clear" w:color="auto" w:fill="ffffff"/>
        <w:spacing w:before="300" w:after="300" w:line="240" w:lineRule="auto"/>
        <w:rPr>
          <w:rStyle w:val="None"/>
          <w:b w:val="1"/>
          <w:bCs w:val="1"/>
          <w:color w:val="0b0c0c"/>
          <w:sz w:val="41"/>
          <w:szCs w:val="41"/>
          <w:u w:color="0b0c0c"/>
        </w:rPr>
      </w:pPr>
      <w:r>
        <w:rPr>
          <w:rStyle w:val="None"/>
          <w:b w:val="1"/>
          <w:bCs w:val="1"/>
          <w:color w:val="0b0c0c"/>
          <w:sz w:val="41"/>
          <w:szCs w:val="41"/>
          <w:u w:color="0b0c0c"/>
          <w:rtl w:val="0"/>
          <w:lang w:val="en-US"/>
        </w:rPr>
        <w:t>Primary assessment</w:t>
      </w:r>
    </w:p>
    <w:p>
      <w:pPr>
        <w:pStyle w:val="Body"/>
        <w:shd w:val="clear" w:color="auto" w:fill="ffffff"/>
        <w:spacing w:before="300" w:after="300" w:line="240" w:lineRule="auto"/>
        <w:rPr>
          <w:rStyle w:val="None"/>
          <w:color w:val="0b0c0c"/>
          <w:sz w:val="29"/>
          <w:szCs w:val="29"/>
          <w:u w:color="0b0c0c"/>
        </w:rPr>
      </w:pPr>
      <w:r>
        <w:rPr>
          <w:rStyle w:val="None"/>
          <w:color w:val="0b0c0c"/>
          <w:sz w:val="29"/>
          <w:szCs w:val="29"/>
          <w:u w:color="0b0c0c"/>
          <w:rtl w:val="0"/>
          <w:lang w:val="en-US"/>
        </w:rPr>
        <w:t>We recognise that pupils will have missed a critical period of their education due to lockdown in the 2019 to 2020 academic year. It is vital that we know the impact of coronavirus (COVID-19) on this cohort of pupils nationally, and can give support to schools that need it the most.</w:t>
      </w:r>
    </w:p>
    <w:p>
      <w:pPr>
        <w:pStyle w:val="Body"/>
        <w:shd w:val="clear" w:color="auto" w:fill="ffffff"/>
        <w:spacing w:before="300" w:after="300" w:line="240" w:lineRule="auto"/>
        <w:rPr>
          <w:rStyle w:val="None"/>
          <w:color w:val="0b0c0c"/>
          <w:sz w:val="29"/>
          <w:szCs w:val="29"/>
          <w:u w:color="0b0c0c"/>
        </w:rPr>
      </w:pPr>
      <w:r>
        <w:rPr>
          <w:rStyle w:val="None"/>
          <w:color w:val="0b0c0c"/>
          <w:sz w:val="29"/>
          <w:szCs w:val="29"/>
          <w:u w:color="0b0c0c"/>
          <w:rtl w:val="0"/>
          <w:lang w:val="en-US"/>
        </w:rPr>
        <w:t>We are, therefore, planning on the basis that statutory primary assessments will take place in summer 2021. The early years foundation stage profile, and all existing statutory key stage 1 and 2 assessments, should return in 2020 to 2021 in accordance with their usual timetables. This includes:</w:t>
      </w:r>
    </w:p>
    <w:p>
      <w:pPr>
        <w:pStyle w:val="Body"/>
        <w:numPr>
          <w:ilvl w:val="0"/>
          <w:numId w:val="8"/>
        </w:numPr>
        <w:shd w:val="clear" w:color="auto" w:fill="ffffff"/>
        <w:bidi w:val="0"/>
        <w:spacing w:after="75" w:line="240" w:lineRule="auto"/>
        <w:ind w:right="0"/>
        <w:jc w:val="left"/>
        <w:rPr>
          <w:rFonts w:ascii="Helvetica Neue" w:hAnsi="Helvetica Neue"/>
          <w:color w:val="0b0c0c"/>
          <w:sz w:val="29"/>
          <w:szCs w:val="29"/>
          <w:rtl w:val="0"/>
          <w:lang w:val="en-US"/>
        </w:rPr>
      </w:pPr>
      <w:r>
        <w:rPr>
          <w:rStyle w:val="None"/>
          <w:rFonts w:ascii="Helvetica Neue" w:hAnsi="Helvetica Neue"/>
          <w:color w:val="0b0c0c"/>
          <w:sz w:val="29"/>
          <w:szCs w:val="29"/>
          <w:u w:color="0b0c0c"/>
          <w:rtl w:val="0"/>
          <w:lang w:val="en-US"/>
        </w:rPr>
        <w:t>the phonics screening check</w:t>
      </w:r>
    </w:p>
    <w:p>
      <w:pPr>
        <w:pStyle w:val="Body"/>
        <w:numPr>
          <w:ilvl w:val="0"/>
          <w:numId w:val="8"/>
        </w:numPr>
        <w:shd w:val="clear" w:color="auto" w:fill="ffffff"/>
        <w:bidi w:val="0"/>
        <w:spacing w:after="75" w:line="240" w:lineRule="auto"/>
        <w:ind w:right="0"/>
        <w:jc w:val="left"/>
        <w:rPr>
          <w:rFonts w:ascii="Helvetica Neue" w:hAnsi="Helvetica Neue"/>
          <w:color w:val="0b0c0c"/>
          <w:sz w:val="29"/>
          <w:szCs w:val="29"/>
          <w:rtl w:val="0"/>
          <w:lang w:val="en-US"/>
        </w:rPr>
      </w:pPr>
      <w:r>
        <w:rPr>
          <w:rStyle w:val="None"/>
          <w:rFonts w:ascii="Helvetica Neue" w:hAnsi="Helvetica Neue"/>
          <w:color w:val="0b0c0c"/>
          <w:sz w:val="29"/>
          <w:szCs w:val="29"/>
          <w:u w:color="0b0c0c"/>
          <w:rtl w:val="0"/>
          <w:lang w:val="en-US"/>
        </w:rPr>
        <w:t>key stage 1 tests and teacher assessment</w:t>
      </w:r>
    </w:p>
    <w:p>
      <w:pPr>
        <w:pStyle w:val="Body"/>
        <w:numPr>
          <w:ilvl w:val="0"/>
          <w:numId w:val="8"/>
        </w:numPr>
        <w:shd w:val="clear" w:color="auto" w:fill="ffffff"/>
        <w:bidi w:val="0"/>
        <w:spacing w:after="75" w:line="240" w:lineRule="auto"/>
        <w:ind w:right="0"/>
        <w:jc w:val="left"/>
        <w:rPr>
          <w:rFonts w:ascii="Helvetica Neue" w:hAnsi="Helvetica Neue"/>
          <w:color w:val="0b0c0c"/>
          <w:sz w:val="29"/>
          <w:szCs w:val="29"/>
          <w:rtl w:val="0"/>
          <w:lang w:val="en-US"/>
        </w:rPr>
      </w:pPr>
      <w:r>
        <w:rPr>
          <w:rStyle w:val="None"/>
          <w:rFonts w:ascii="Helvetica Neue" w:hAnsi="Helvetica Neue"/>
          <w:color w:val="0b0c0c"/>
          <w:sz w:val="29"/>
          <w:szCs w:val="29"/>
          <w:u w:color="0b0c0c"/>
          <w:rtl w:val="0"/>
          <w:lang w:val="en-US"/>
        </w:rPr>
        <w:t>the year 4 multiplication tables check</w:t>
      </w:r>
    </w:p>
    <w:p>
      <w:pPr>
        <w:pStyle w:val="Body"/>
        <w:numPr>
          <w:ilvl w:val="0"/>
          <w:numId w:val="8"/>
        </w:numPr>
        <w:shd w:val="clear" w:color="auto" w:fill="ffffff"/>
        <w:bidi w:val="0"/>
        <w:spacing w:after="75" w:line="240" w:lineRule="auto"/>
        <w:ind w:right="0"/>
        <w:jc w:val="left"/>
        <w:rPr>
          <w:rFonts w:ascii="Helvetica Neue" w:hAnsi="Helvetica Neue"/>
          <w:color w:val="0b0c0c"/>
          <w:sz w:val="29"/>
          <w:szCs w:val="29"/>
          <w:rtl w:val="0"/>
          <w:lang w:val="en-US"/>
        </w:rPr>
      </w:pPr>
      <w:r>
        <w:rPr>
          <w:rStyle w:val="None"/>
          <w:rFonts w:ascii="Helvetica Neue" w:hAnsi="Helvetica Neue"/>
          <w:color w:val="0b0c0c"/>
          <w:sz w:val="29"/>
          <w:szCs w:val="29"/>
          <w:u w:color="0b0c0c"/>
          <w:rtl w:val="0"/>
          <w:lang w:val="en-US"/>
        </w:rPr>
        <w:t>key stage 2 tests and teacher assessment</w:t>
      </w:r>
    </w:p>
    <w:p>
      <w:pPr>
        <w:pStyle w:val="Body"/>
        <w:numPr>
          <w:ilvl w:val="0"/>
          <w:numId w:val="8"/>
        </w:numPr>
        <w:shd w:val="clear" w:color="auto" w:fill="ffffff"/>
        <w:bidi w:val="0"/>
        <w:spacing w:after="75" w:line="240" w:lineRule="auto"/>
        <w:ind w:right="0"/>
        <w:jc w:val="left"/>
        <w:rPr>
          <w:rFonts w:ascii="Helvetica Neue" w:hAnsi="Helvetica Neue"/>
          <w:color w:val="0b0c0c"/>
          <w:sz w:val="29"/>
          <w:szCs w:val="29"/>
          <w:rtl w:val="0"/>
          <w:lang w:val="en-US"/>
        </w:rPr>
      </w:pPr>
      <w:r>
        <w:rPr>
          <w:rStyle w:val="None"/>
          <w:rFonts w:ascii="Helvetica Neue" w:hAnsi="Helvetica Neue"/>
          <w:color w:val="0b0c0c"/>
          <w:sz w:val="29"/>
          <w:szCs w:val="29"/>
          <w:u w:color="0b0c0c"/>
          <w:rtl w:val="0"/>
          <w:lang w:val="en-US"/>
        </w:rPr>
        <w:t>statutory trialling</w:t>
      </w:r>
    </w:p>
    <w:p>
      <w:pPr>
        <w:pStyle w:val="Body"/>
        <w:shd w:val="clear" w:color="auto" w:fill="ffffff"/>
        <w:spacing w:before="300" w:after="300" w:line="240" w:lineRule="auto"/>
        <w:rPr>
          <w:rStyle w:val="None"/>
          <w:color w:val="0b0c0c"/>
          <w:sz w:val="29"/>
          <w:szCs w:val="29"/>
          <w:u w:color="0b0c0c"/>
        </w:rPr>
      </w:pPr>
      <w:r>
        <w:rPr>
          <w:rStyle w:val="None"/>
          <w:color w:val="0b0c0c"/>
          <w:sz w:val="29"/>
          <w:szCs w:val="29"/>
          <w:u w:color="0b0c0c"/>
          <w:rtl w:val="0"/>
          <w:lang w:val="en-US"/>
        </w:rPr>
        <w:t>The statutory rollout of the reception baseline assessment has been postponed until September 2021, giving schools flexibility to sign up to our early adopter year in 2020 to 2021.</w:t>
      </w:r>
    </w:p>
    <w:p>
      <w:pPr>
        <w:pStyle w:val="Body"/>
        <w:shd w:val="clear" w:color="auto" w:fill="ffffff"/>
        <w:spacing w:before="300" w:after="300" w:line="240" w:lineRule="auto"/>
        <w:rPr>
          <w:rStyle w:val="None"/>
          <w:color w:val="0b0c0c"/>
          <w:sz w:val="29"/>
          <w:szCs w:val="29"/>
          <w:u w:color="0b0c0c"/>
        </w:rPr>
      </w:pPr>
      <w:r>
        <w:rPr>
          <w:rStyle w:val="None"/>
          <w:color w:val="0b0c0c"/>
          <w:sz w:val="29"/>
          <w:szCs w:val="29"/>
          <w:u w:color="0b0c0c"/>
          <w:rtl w:val="0"/>
          <w:lang w:val="en-US"/>
        </w:rPr>
        <w:t>The Standards and Testing Agency (STA) are reviewing requirements for the phonics screening check in year 2 (following the cancellation of the 2020 assessment) and also arrangements for implementation of the engagement model (for the assessment of pupils working below the national curriculum and not engaged in subject specific study) and will provide an update to schools before the end of the summer term.</w:t>
      </w:r>
    </w:p>
    <w:p>
      <w:pPr>
        <w:pStyle w:val="Body"/>
        <w:shd w:val="clear" w:color="auto" w:fill="ffffff"/>
        <w:spacing w:before="300" w:after="300" w:line="240" w:lineRule="auto"/>
        <w:rPr>
          <w:rStyle w:val="None"/>
          <w:b w:val="1"/>
          <w:bCs w:val="1"/>
          <w:color w:val="0b0c0c"/>
          <w:sz w:val="41"/>
          <w:szCs w:val="41"/>
          <w:u w:color="0b0c0c"/>
        </w:rPr>
      </w:pPr>
      <w:r>
        <w:rPr>
          <w:rStyle w:val="None"/>
          <w:b w:val="1"/>
          <w:bCs w:val="1"/>
          <w:color w:val="0b0c0c"/>
          <w:sz w:val="41"/>
          <w:szCs w:val="41"/>
          <w:u w:color="0b0c0c"/>
          <w:rtl w:val="0"/>
          <w:lang w:val="en-US"/>
        </w:rPr>
        <w:t>Accountability</w:t>
      </w:r>
      <w:r>
        <w:rPr>
          <w:rStyle w:val="None"/>
          <w:b w:val="1"/>
          <w:bCs w:val="1"/>
          <w:color w:val="0b0c0c"/>
          <w:sz w:val="41"/>
          <w:szCs w:val="41"/>
          <w:u w:color="0b0c0c"/>
          <w:rtl w:val="0"/>
          <w:lang w:val="en-US"/>
        </w:rPr>
        <w:t xml:space="preserve"> expectations</w:t>
      </w:r>
    </w:p>
    <w:p>
      <w:pPr>
        <w:pStyle w:val="Body"/>
        <w:shd w:val="clear" w:color="auto" w:fill="ffffff"/>
        <w:spacing w:after="0" w:line="240" w:lineRule="auto"/>
      </w:pPr>
      <w:r>
        <w:rPr>
          <w:rStyle w:val="None"/>
          <w:color w:val="0b0c0c"/>
          <w:sz w:val="29"/>
          <w:szCs w:val="29"/>
          <w:u w:color="0b0c0c"/>
          <w:rtl w:val="0"/>
          <w:lang w:val="en-US"/>
        </w:rPr>
        <w:t>Performance tables are suspended for the 2019 to 2020 academic year, and no school or college will be judged on data based on exams and assessments from 2020. Until the new data release is available, all those working with schools, including Ofsted and</w:t>
      </w:r>
      <w:r>
        <w:rPr>
          <w:rStyle w:val="None"/>
          <w:color w:val="0b0c0c"/>
          <w:sz w:val="29"/>
          <w:szCs w:val="29"/>
          <w:u w:color="0b0c0c"/>
          <w:rtl w:val="0"/>
          <w:lang w:val="en-US"/>
        </w:rPr>
        <w:t> </w:t>
      </w:r>
      <w:r>
        <w:rPr>
          <w:rStyle w:val="None"/>
          <w:color w:val="0b0c0c"/>
          <w:sz w:val="29"/>
          <w:szCs w:val="29"/>
          <w:u w:color="0b0c0c"/>
          <w:rtl w:val="0"/>
        </w:rPr>
        <w:t>DfE</w:t>
      </w:r>
      <w:r>
        <w:rPr>
          <w:rStyle w:val="None"/>
          <w:color w:val="0b0c0c"/>
          <w:sz w:val="29"/>
          <w:szCs w:val="29"/>
          <w:u w:color="0b0c0c"/>
          <w:rtl w:val="0"/>
          <w:lang w:val="en-US"/>
        </w:rPr>
        <w:t> </w:t>
      </w:r>
      <w:r>
        <w:rPr>
          <w:rStyle w:val="None"/>
          <w:color w:val="0b0c0c"/>
          <w:sz w:val="29"/>
          <w:szCs w:val="29"/>
          <w:u w:color="0b0c0c"/>
          <w:rtl w:val="0"/>
          <w:lang w:val="en-US"/>
        </w:rPr>
        <w:t>regional teams, should refer to the 2019 data. The Department for Education will continue to use 2019 data as a starting point for any conversation about support for schools with Ofsted judgements below good. More information is set out at</w:t>
      </w:r>
      <w:r>
        <w:rPr>
          <w:rStyle w:val="None"/>
          <w:color w:val="0b0c0c"/>
          <w:sz w:val="29"/>
          <w:szCs w:val="29"/>
          <w:u w:color="0b0c0c"/>
          <w:rtl w:val="0"/>
          <w:lang w:val="en-US"/>
        </w:rPr>
        <w:t> </w:t>
      </w:r>
      <w:r>
        <w:rPr>
          <w:rStyle w:val="Hyperlink.3"/>
        </w:rPr>
        <w:fldChar w:fldCharType="begin" w:fldLock="0"/>
      </w:r>
      <w:r>
        <w:rPr>
          <w:rStyle w:val="Hyperlink.3"/>
        </w:rPr>
        <w:instrText xml:space="preserve"> HYPERLINK "https://www.gov.uk/government/publications/coronavirus-covid-19-school-and-college-performance-measures/coronavirus-covid-19-school-and-college-accountability"</w:instrText>
      </w:r>
      <w:r>
        <w:rPr>
          <w:rStyle w:val="Hyperlink.3"/>
        </w:rPr>
        <w:fldChar w:fldCharType="separate" w:fldLock="0"/>
      </w:r>
      <w:r>
        <w:rPr>
          <w:rStyle w:val="Hyperlink.3"/>
          <w:rtl w:val="0"/>
          <w:lang w:val="en-US"/>
        </w:rPr>
        <w:t>coronavirus (COVID-19): school and college accountability</w:t>
      </w:r>
      <w:r>
        <w:rPr/>
        <w:fldChar w:fldCharType="end" w:fldLock="0"/>
      </w:r>
      <w:r>
        <w:rPr>
          <w:rStyle w:val="None"/>
          <w:color w:val="0b0c0c"/>
          <w:sz w:val="29"/>
          <w:szCs w:val="29"/>
          <w:u w:color="0b0c0c"/>
          <w:rtl w:val="0"/>
        </w:rPr>
        <w:t>.</w:t>
      </w:r>
    </w:p>
    <w:p>
      <w:pPr>
        <w:pStyle w:val="Body"/>
        <w:shd w:val="clear" w:color="auto" w:fill="ffffff"/>
        <w:spacing w:before="300" w:after="300" w:line="240" w:lineRule="auto"/>
        <w:rPr>
          <w:rFonts w:ascii="Helvetica Neue" w:cs="Helvetica Neue" w:hAnsi="Helvetica Neue" w:eastAsia="Helvetica Neue"/>
          <w:color w:val="0b0c0c"/>
          <w:sz w:val="29"/>
          <w:szCs w:val="29"/>
          <w:u w:color="0b0c0c"/>
        </w:rPr>
      </w:pPr>
    </w:p>
    <w:p>
      <w:pPr>
        <w:pStyle w:val="Body"/>
        <w:shd w:val="clear" w:color="auto" w:fill="ffffff"/>
        <w:spacing w:before="300" w:after="300" w:line="240" w:lineRule="auto"/>
        <w:rPr>
          <w:rFonts w:ascii="Helvetica Neue" w:cs="Helvetica Neue" w:hAnsi="Helvetica Neue" w:eastAsia="Helvetica Neue"/>
          <w:color w:val="0b0c0c"/>
          <w:sz w:val="29"/>
          <w:szCs w:val="29"/>
          <w:u w:color="0b0c0c"/>
        </w:rPr>
      </w:pPr>
    </w:p>
    <w:p>
      <w:pPr>
        <w:pStyle w:val="Body"/>
        <w:shd w:val="clear" w:color="auto" w:fill="ffffff"/>
        <w:spacing w:before="300" w:after="300" w:line="240" w:lineRule="auto"/>
        <w:rPr>
          <w:rFonts w:ascii="Helvetica Neue" w:cs="Helvetica Neue" w:hAnsi="Helvetica Neue" w:eastAsia="Helvetica Neue"/>
          <w:color w:val="0b0c0c"/>
          <w:sz w:val="29"/>
          <w:szCs w:val="29"/>
          <w:u w:color="0b0c0c"/>
        </w:rPr>
      </w:pPr>
    </w:p>
    <w:p>
      <w:pPr>
        <w:pStyle w:val="Body"/>
      </w:p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s>
        <w:ind w:left="10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7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4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1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6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3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0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s>
        <w:ind w:left="10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7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4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1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6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3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0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s>
        <w:ind w:left="10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7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4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1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6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3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0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s>
        <w:ind w:left="10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7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4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1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6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3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0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character" w:styleId="None">
    <w:name w:val="None"/>
  </w:style>
  <w:style w:type="character" w:styleId="Hyperlink.0">
    <w:name w:val="Hyperlink.0"/>
    <w:basedOn w:val="None"/>
    <w:next w:val="Hyperlink.0"/>
    <w:rPr>
      <w:color w:val="4c2c92"/>
      <w:sz w:val="29"/>
      <w:szCs w:val="29"/>
      <w:u w:val="single" w:color="4c2c92"/>
    </w:rPr>
  </w:style>
  <w:style w:type="character" w:styleId="Hyperlink.1">
    <w:name w:val="Hyperlink.1"/>
    <w:basedOn w:val="None"/>
    <w:next w:val="Hyperlink.1"/>
    <w:rPr>
      <w:color w:val="4c2c92"/>
      <w:u w:val="single" w:color="4c2c92"/>
    </w:rPr>
  </w:style>
  <w:style w:type="numbering" w:styleId="Imported Style 3">
    <w:name w:val="Imported Style 3"/>
    <w:pPr>
      <w:numPr>
        <w:numId w:val="5"/>
      </w:numPr>
    </w:pPr>
  </w:style>
  <w:style w:type="character" w:styleId="Link">
    <w:name w:val="Link"/>
    <w:rPr>
      <w:color w:val="0000ff"/>
      <w:u w:val="single" w:color="0000ff"/>
    </w:rPr>
  </w:style>
  <w:style w:type="character" w:styleId="Hyperlink.2">
    <w:name w:val="Hyperlink.2"/>
    <w:basedOn w:val="Link"/>
    <w:next w:val="Hyperlink.2"/>
    <w:rPr>
      <w:color w:val="4c2c92"/>
      <w:sz w:val="29"/>
      <w:szCs w:val="29"/>
      <w:u w:color="4c2c92"/>
      <w:shd w:val="clear" w:color="auto" w:fill="ffffff"/>
    </w:rPr>
  </w:style>
  <w:style w:type="numbering" w:styleId="Imported Style 4">
    <w:name w:val="Imported Style 4"/>
    <w:pPr>
      <w:numPr>
        <w:numId w:val="7"/>
      </w:numPr>
    </w:pPr>
  </w:style>
  <w:style w:type="character" w:styleId="Hyperlink.3">
    <w:name w:val="Hyperlink.3"/>
    <w:basedOn w:val="None"/>
    <w:next w:val="Hyperlink.3"/>
    <w:rPr>
      <w:color w:val="0b0c0c"/>
      <w:sz w:val="29"/>
      <w:szCs w:val="29"/>
      <w:u w:val="single" w:color="0b0c0c"/>
      <w:shd w:val="clear" w:color="auto" w:fill="ffdd0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